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widowControl/>
        <w:spacing w:lineRule="auto" w:line="264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MINISTARSTVO ZNANOSTI I OBRAZOVANJA</w:t>
      </w:r>
    </w:p>
    <w:p>
      <w:pPr>
        <w:pStyle w:val="Tijeloteksta"/>
        <w:widowControl/>
        <w:spacing w:lineRule="auto" w:line="271" w:before="0" w:after="0"/>
        <w:ind w:left="0" w:right="0" w:hanging="0"/>
        <w:jc w:val="righ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Na temelju članka 27. stavka 9. Zakona o odgoju i obrazovanju u osnovnoj i srednjoj školi (»Narodne novine«, broj: 87/08, 86/09, 92/10, 105/10 – ispravak, 90/11, 16/12, 86/12, 94/13, 152/14, 7/17 i 68/18) ministrica znanosti i obrazovanja donosi</w:t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spacing w:lineRule="auto" w:line="264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ODLUKU</w:t>
      </w:r>
    </w:p>
    <w:p>
      <w:pPr>
        <w:pStyle w:val="Tijeloteksta"/>
        <w:widowControl/>
        <w:spacing w:lineRule="auto" w:line="259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O DONOŠENJU NASTAVNOG PLANA ZA OSNOVNU ŠKOLU</w:t>
      </w:r>
    </w:p>
    <w:p>
      <w:pPr>
        <w:pStyle w:val="Tijeloteksta"/>
        <w:widowControl/>
        <w:spacing w:lineRule="auto" w:line="259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(Narodne novine, broj 66/2019.)</w:t>
      </w:r>
    </w:p>
    <w:p>
      <w:pPr>
        <w:pStyle w:val="Tijeloteksta"/>
        <w:widowControl/>
        <w:spacing w:lineRule="auto" w:line="252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I.</w:t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Ovom Odlukom donosi se Nastavni plan za osnovnu školu.</w:t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spacing w:lineRule="auto" w:line="252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II.</w:t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Sastavni dio ove Odluke je Nastavni plan za osnovnu školu.</w:t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spacing w:lineRule="auto" w:line="252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III.</w:t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Stupanjem na snagu ove Odluke stavlja se izvan snage Uvod, Ciljevi i zadaće odgoja i obrazovanja u osnovnoj školi, Temeljne odrednice odgojno-obrazovnoga i nastavnog rada prema HNOS-u, Nastavni plan za provedbu nastavnog programa, Odgojno-obrazovni, školski i nastavni rad, Odgojno-obrazovni oblici, metode i sredstva izvannastavnoga i izvanučioničkog rada, Rad s darovitim učenicima, Rad s učenicima s posebnim potrebama, Nositelji odgojno-obrazovne djelatnosti u osnovnoj školi, Odgojno-obrazovna djelatnost stručnih suradnika u osnovnoj školi, Školska knjižnica, Integrativni odgojno-obrazovni sadržaji za osnovnu školu i Strani jezici koji su dio Nastavnog plana i programa za osnovnu školu, a koji je donesen Odlukom o nastavnom planu i programu za osnovnu školu (»Narodne novine«, broj 102/06).</w:t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spacing w:lineRule="auto" w:line="252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IV.</w:t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Ova Odluka stupa na snagu osmoga dana od dana objave u »Narodnim novinama«, osim dijela koji se odnosi na izbornu nastavu nastavnoga predmeta Informatika za učenike I., II., III. i IV. razreda osnovne škole, koji stupa na snagu 1. rujna 2020. godine.</w:t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Klasa: 602-02/19-05/00012</w:t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Urbroj: 533-08-19-0001</w:t>
      </w:r>
    </w:p>
    <w:p>
      <w:pPr>
        <w:pStyle w:val="Tijeloteksta"/>
        <w:widowControl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Zagreb, 4. srpnja 2019.</w:t>
      </w:r>
    </w:p>
    <w:p>
      <w:pPr>
        <w:pStyle w:val="Tijeloteksta"/>
        <w:widowControl/>
        <w:spacing w:lineRule="auto" w:line="252" w:before="0" w:after="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Ministrica</w:t>
        <w:br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prof. dr. sc. Blaženka Divjak,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v.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Tijeloteksta"/>
        <w:widowControl/>
        <w:pBdr/>
        <w:spacing w:lineRule="auto" w:line="249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NAS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TAVNI PLAN ZA OSNOVNU ŠKOLU</w:t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17"/>
        <w:gridCol w:w="116"/>
        <w:gridCol w:w="652"/>
        <w:gridCol w:w="921"/>
        <w:gridCol w:w="921"/>
        <w:gridCol w:w="921"/>
        <w:gridCol w:w="938"/>
        <w:gridCol w:w="918"/>
        <w:gridCol w:w="918"/>
        <w:gridCol w:w="80"/>
        <w:gridCol w:w="736"/>
      </w:tblGrid>
      <w:tr>
        <w:trPr/>
        <w:tc>
          <w:tcPr>
            <w:tcW w:w="26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PREDMETNI KURIKULUMI</w:t>
            </w:r>
          </w:p>
        </w:tc>
        <w:tc>
          <w:tcPr>
            <w:tcW w:w="70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GODIŠNJI BROJ SATI PO RAZREDIMA</w:t>
            </w:r>
          </w:p>
        </w:tc>
      </w:tr>
      <w:tr>
        <w:trPr/>
        <w:tc>
          <w:tcPr>
            <w:tcW w:w="263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Razredna nastava</w:t>
            </w:r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Predmetna nastava</w:t>
            </w:r>
          </w:p>
        </w:tc>
      </w:tr>
      <w:tr>
        <w:trPr/>
        <w:tc>
          <w:tcPr>
            <w:tcW w:w="263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I.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II.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III.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IV.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V.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VI.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VII.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VIII.</w:t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OBVEZNI PREDMETI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Hrvatski jezik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175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175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175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175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175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175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140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140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Strani jezik (prvi strani jezik)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Likovna kultura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Glazbena kultura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Matematika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140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140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140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140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140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140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Priroda i društvo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Priroda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52,5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Biologija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Kemija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Fizika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Geografija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52,5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Povijest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Tehnička kultura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Informatika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Tjelesna i zdravstvena kultura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Ukupno (tjedno)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18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24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25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26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26</w:t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IZBORNI PREDMETI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Vjeronauk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Informatika*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Drugi strani jezik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70</w:t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POSEBNI PROGRAMI KLASIČNIH JEZIKA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Latinski jezik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Grčki jezik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105</w:t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MEĐUPREDMETNE TEME**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Osobni i socijalni razvoj</w:t>
            </w:r>
          </w:p>
        </w:tc>
        <w:tc>
          <w:tcPr>
            <w:tcW w:w="353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izvode se međupredmetno u okviru satnice nastavnih predmeta i sata razrednog odjela</w:t>
            </w:r>
          </w:p>
        </w:tc>
        <w:tc>
          <w:tcPr>
            <w:tcW w:w="359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izvode se međupredmetno u okviru satnice nastavnih predmeta i sata razrednog odjela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Građanski odgoj i obrazovanje</w:t>
            </w:r>
          </w:p>
        </w:tc>
        <w:tc>
          <w:tcPr>
            <w:tcW w:w="3531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90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Zdravlje</w:t>
            </w:r>
          </w:p>
        </w:tc>
        <w:tc>
          <w:tcPr>
            <w:tcW w:w="3531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90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Održivi razvoj</w:t>
            </w:r>
          </w:p>
        </w:tc>
        <w:tc>
          <w:tcPr>
            <w:tcW w:w="3531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90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Učiti kako učiti</w:t>
            </w:r>
          </w:p>
        </w:tc>
        <w:tc>
          <w:tcPr>
            <w:tcW w:w="3531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90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Poduzetništvo</w:t>
            </w:r>
          </w:p>
        </w:tc>
        <w:tc>
          <w:tcPr>
            <w:tcW w:w="3531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90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Uporaba informacijske i komunikacijske tehnologije</w:t>
            </w:r>
          </w:p>
        </w:tc>
        <w:tc>
          <w:tcPr>
            <w:tcW w:w="3531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90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DRUGI OBLICI NASTAVE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Dopunska i dodatna nastava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35+35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35+35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35+35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35+35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35+35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35+35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35+35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35+35</w:t>
            </w:r>
          </w:p>
        </w:tc>
      </w:tr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Sat razrednog odjela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jc w:val="righ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35</w:t>
            </w:r>
          </w:p>
        </w:tc>
      </w:tr>
    </w:tbl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* Dio koji se odnosi na izbornu nastavu nastavnoga predmeta Informatika primjenjivat će se za učenike I., II., III. i IV. razreda osnovne škole od školske godine 2020./2021.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** Kurikulumi međupredmetnih tema izvode se međupredmetno u okviru svih nastavnih predmeta i sata razrednog odjela. Realizacija odgojno-obrazovnih očekivanja svih međupredmetnih tema je obavezna u svim razredima, a za to se koriste sati planirani za pojedine nastavne predmete i sat razrednog odjela.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LibreOffice/6.2.8.2$Windows_X86_64 LibreOffice_project/f82ddfca21ebc1e222a662a32b25c0c9d20169ee</Application>
  <Pages>3</Pages>
  <Words>562</Words>
  <Characters>2956</Characters>
  <CharactersWithSpaces>3327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2020-02-01T18:03:47Z</dcterms:created>
  <dc:creator/>
  <dc:description/>
  <dc:language>hr-HR</dc:language>
  <cp:lastModifiedBy/>
  <dcterms:modified xsi:type="dcterms:W3CDTF">2020-02-01T18:07:13Z</dcterms:modified>
  <cp:revision>2</cp:revision>
  <dc:subject/>
  <dc:title/>
</cp:coreProperties>
</file>